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5F" w:rsidRPr="00503B1B" w:rsidRDefault="0022255F" w:rsidP="006E4AC7">
      <w:pPr>
        <w:keepNext/>
        <w:keepLines/>
        <w:jc w:val="center"/>
        <w:outlineLvl w:val="3"/>
        <w:rPr>
          <w:bCs/>
          <w:i/>
          <w:iCs/>
          <w:color w:val="000000"/>
        </w:rPr>
      </w:pPr>
      <w:r w:rsidRPr="00503B1B">
        <w:rPr>
          <w:bCs/>
          <w:i/>
          <w:iCs/>
          <w:color w:val="000000"/>
        </w:rPr>
        <w:t>ПОКАЗАТЕЛИ</w:t>
      </w:r>
      <w:r w:rsidRPr="00503B1B">
        <w:rPr>
          <w:bCs/>
          <w:i/>
          <w:iCs/>
          <w:color w:val="000000"/>
        </w:rPr>
        <w:br/>
        <w:t>ДЕЯТЕЛЬНОСТИ ОРГАНИЗАЦИИ ДОПОЛНИТЕЛЬНОГО ОБРАЗОВАНИЯ, ПОДЛЕЖАЩЕЙ САМООБСЛЕДОВАНИЮ</w:t>
      </w:r>
    </w:p>
    <w:p w:rsidR="0022255F" w:rsidRPr="00503B1B" w:rsidRDefault="0022255F" w:rsidP="006E4AC7">
      <w:pPr>
        <w:tabs>
          <w:tab w:val="left" w:pos="3654"/>
        </w:tabs>
        <w:jc w:val="center"/>
        <w:rPr>
          <w:b/>
        </w:rPr>
      </w:pPr>
      <w:r>
        <w:rPr>
          <w:b/>
        </w:rPr>
        <w:t>МАУ</w:t>
      </w:r>
      <w:r w:rsidRPr="00503B1B">
        <w:rPr>
          <w:b/>
        </w:rPr>
        <w:t>ДОД ДЮЦ «Импульс»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22255F" w:rsidTr="008C4A8D">
        <w:tc>
          <w:tcPr>
            <w:tcW w:w="959" w:type="dxa"/>
          </w:tcPr>
          <w:p w:rsidR="0022255F" w:rsidRDefault="0022255F" w:rsidP="006E4AC7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5421" w:type="dxa"/>
          </w:tcPr>
          <w:p w:rsidR="0022255F" w:rsidRDefault="0022255F" w:rsidP="006E4AC7">
            <w:pPr>
              <w:jc w:val="center"/>
            </w:pPr>
            <w:r>
              <w:t>Показатели</w:t>
            </w:r>
          </w:p>
        </w:tc>
        <w:tc>
          <w:tcPr>
            <w:tcW w:w="3191" w:type="dxa"/>
          </w:tcPr>
          <w:p w:rsidR="0022255F" w:rsidRDefault="0022255F" w:rsidP="006E4AC7">
            <w:pPr>
              <w:jc w:val="center"/>
            </w:pPr>
            <w:r>
              <w:t>Единица измерения</w:t>
            </w:r>
          </w:p>
        </w:tc>
      </w:tr>
      <w:tr w:rsidR="0022255F" w:rsidRPr="001B415F" w:rsidTr="008C4A8D">
        <w:tc>
          <w:tcPr>
            <w:tcW w:w="959" w:type="dxa"/>
          </w:tcPr>
          <w:p w:rsidR="0022255F" w:rsidRPr="00242DC7" w:rsidRDefault="0022255F" w:rsidP="006E4AC7">
            <w:pPr>
              <w:rPr>
                <w:b w:val="0"/>
              </w:rPr>
            </w:pPr>
            <w:r w:rsidRPr="00242DC7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8612" w:type="dxa"/>
            <w:gridSpan w:val="2"/>
          </w:tcPr>
          <w:p w:rsidR="0022255F" w:rsidRPr="00860835" w:rsidRDefault="0022255F" w:rsidP="006E4AC7">
            <w:pPr>
              <w:rPr>
                <w:b w:val="0"/>
              </w:rPr>
            </w:pPr>
            <w:r w:rsidRPr="00860835">
              <w:rPr>
                <w:b w:val="0"/>
              </w:rPr>
              <w:t>Образовательная деятельность</w:t>
            </w:r>
          </w:p>
        </w:tc>
      </w:tr>
      <w:tr w:rsidR="0022255F" w:rsidRPr="001B415F" w:rsidTr="008C4A8D">
        <w:tc>
          <w:tcPr>
            <w:tcW w:w="959" w:type="dxa"/>
          </w:tcPr>
          <w:p w:rsidR="0022255F" w:rsidRPr="00242DC7" w:rsidRDefault="0022255F" w:rsidP="006E4AC7">
            <w:pPr>
              <w:rPr>
                <w:b w:val="0"/>
              </w:rPr>
            </w:pPr>
            <w:r w:rsidRPr="00242DC7"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5421" w:type="dxa"/>
          </w:tcPr>
          <w:p w:rsidR="0022255F" w:rsidRPr="00860835" w:rsidRDefault="0022255F" w:rsidP="006E4AC7">
            <w:pPr>
              <w:rPr>
                <w:b w:val="0"/>
              </w:rPr>
            </w:pPr>
            <w:r w:rsidRPr="00860835">
              <w:rPr>
                <w:b w:val="0"/>
              </w:rPr>
              <w:t>Общая численность учащихся, в том числе:</w:t>
            </w:r>
          </w:p>
          <w:p w:rsidR="0022255F" w:rsidRPr="00860835" w:rsidRDefault="0022255F" w:rsidP="006E4AC7">
            <w:pPr>
              <w:rPr>
                <w:b w:val="0"/>
              </w:rPr>
            </w:pPr>
            <w:r w:rsidRPr="00860835">
              <w:rPr>
                <w:b w:val="0"/>
              </w:rPr>
              <w:t>Бюджет (по муниципальному заданию)</w:t>
            </w:r>
          </w:p>
        </w:tc>
        <w:tc>
          <w:tcPr>
            <w:tcW w:w="3191" w:type="dxa"/>
          </w:tcPr>
          <w:p w:rsidR="0022255F" w:rsidRPr="00860835" w:rsidRDefault="0022255F" w:rsidP="006E4AC7">
            <w:pPr>
              <w:jc w:val="center"/>
              <w:rPr>
                <w:b w:val="0"/>
              </w:rPr>
            </w:pPr>
            <w:r w:rsidRPr="00860835">
              <w:rPr>
                <w:b w:val="0"/>
              </w:rPr>
              <w:t>1145 чел.</w:t>
            </w:r>
          </w:p>
          <w:p w:rsidR="0022255F" w:rsidRPr="00860835" w:rsidRDefault="0022255F" w:rsidP="006E4AC7">
            <w:pPr>
              <w:jc w:val="center"/>
              <w:rPr>
                <w:b w:val="0"/>
              </w:rPr>
            </w:pPr>
            <w:r w:rsidRPr="00860835">
              <w:rPr>
                <w:b w:val="0"/>
              </w:rPr>
              <w:t xml:space="preserve">1030 чел. 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1.1.1</w:t>
            </w:r>
          </w:p>
        </w:tc>
        <w:tc>
          <w:tcPr>
            <w:tcW w:w="5421" w:type="dxa"/>
            <w:vAlign w:val="center"/>
          </w:tcPr>
          <w:p w:rsidR="0022255F" w:rsidRPr="00860835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860835">
              <w:rPr>
                <w:b w:val="0"/>
              </w:rPr>
              <w:t>Детей дошкольного возраста (3 - 7 лет)  до 5 лет</w:t>
            </w:r>
          </w:p>
        </w:tc>
        <w:tc>
          <w:tcPr>
            <w:tcW w:w="3191" w:type="dxa"/>
            <w:vAlign w:val="center"/>
          </w:tcPr>
          <w:p w:rsidR="0022255F" w:rsidRPr="00860835" w:rsidRDefault="0022255F" w:rsidP="006E4AC7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860835">
              <w:rPr>
                <w:b w:val="0"/>
              </w:rPr>
              <w:t>57 чел.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1.1.2</w:t>
            </w:r>
          </w:p>
        </w:tc>
        <w:tc>
          <w:tcPr>
            <w:tcW w:w="5421" w:type="dxa"/>
            <w:vAlign w:val="center"/>
          </w:tcPr>
          <w:p w:rsidR="0022255F" w:rsidRPr="00860835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860835">
              <w:rPr>
                <w:b w:val="0"/>
              </w:rPr>
              <w:t>Детей младшего школьного возраста (7 - 11 лет) 5-9 лет</w:t>
            </w:r>
          </w:p>
        </w:tc>
        <w:tc>
          <w:tcPr>
            <w:tcW w:w="3191" w:type="dxa"/>
            <w:vAlign w:val="center"/>
          </w:tcPr>
          <w:p w:rsidR="0022255F" w:rsidRPr="00860835" w:rsidRDefault="0022255F" w:rsidP="006E4AC7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860835">
              <w:rPr>
                <w:b w:val="0"/>
              </w:rPr>
              <w:t>638 чел.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1.1.3</w:t>
            </w:r>
          </w:p>
        </w:tc>
        <w:tc>
          <w:tcPr>
            <w:tcW w:w="5421" w:type="dxa"/>
            <w:vAlign w:val="center"/>
          </w:tcPr>
          <w:p w:rsidR="0022255F" w:rsidRPr="00860835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860835">
              <w:rPr>
                <w:b w:val="0"/>
              </w:rPr>
              <w:t>Детей среднего школьного возраста (11 - 15 лет) 10-14 лет</w:t>
            </w:r>
          </w:p>
        </w:tc>
        <w:tc>
          <w:tcPr>
            <w:tcW w:w="3191" w:type="dxa"/>
            <w:vAlign w:val="center"/>
          </w:tcPr>
          <w:p w:rsidR="0022255F" w:rsidRPr="00860835" w:rsidRDefault="0022255F" w:rsidP="006E4AC7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860835">
              <w:rPr>
                <w:b w:val="0"/>
              </w:rPr>
              <w:t>245 чел.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1.1.4</w:t>
            </w:r>
          </w:p>
        </w:tc>
        <w:tc>
          <w:tcPr>
            <w:tcW w:w="5421" w:type="dxa"/>
            <w:vAlign w:val="center"/>
          </w:tcPr>
          <w:p w:rsidR="0022255F" w:rsidRPr="00860835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860835">
              <w:rPr>
                <w:b w:val="0"/>
              </w:rPr>
              <w:t xml:space="preserve">Детей старшего школьного возраста (15 – 17 лет) </w:t>
            </w:r>
            <w:r w:rsidR="009E34D4" w:rsidRPr="009E34D4">
              <w:rPr>
                <w:b w:val="0"/>
                <w:i/>
              </w:rPr>
              <w:t>(</w:t>
            </w:r>
            <w:proofErr w:type="spellStart"/>
            <w:r w:rsidR="009E34D4" w:rsidRPr="009E34D4">
              <w:rPr>
                <w:b w:val="0"/>
                <w:i/>
              </w:rPr>
              <w:t>Статотчет</w:t>
            </w:r>
            <w:proofErr w:type="spellEnd"/>
            <w:r w:rsidR="009E34D4" w:rsidRPr="009E34D4">
              <w:rPr>
                <w:b w:val="0"/>
                <w:i/>
              </w:rPr>
              <w:t>)</w:t>
            </w:r>
            <w:r w:rsidRPr="00860835">
              <w:rPr>
                <w:b w:val="0"/>
              </w:rPr>
              <w:t xml:space="preserve"> </w:t>
            </w:r>
          </w:p>
        </w:tc>
        <w:tc>
          <w:tcPr>
            <w:tcW w:w="3191" w:type="dxa"/>
            <w:vAlign w:val="center"/>
          </w:tcPr>
          <w:p w:rsidR="0022255F" w:rsidRPr="00860835" w:rsidRDefault="0022255F" w:rsidP="006E4AC7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860835">
              <w:rPr>
                <w:b w:val="0"/>
              </w:rPr>
              <w:t>205  чел.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1.2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115 чел.</w:t>
            </w:r>
          </w:p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1.3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  <w:r w:rsidR="009E34D4">
              <w:rPr>
                <w:b w:val="0"/>
              </w:rPr>
              <w:t xml:space="preserve"> </w:t>
            </w:r>
            <w:r w:rsidR="009E34D4" w:rsidRPr="009E34D4">
              <w:rPr>
                <w:b w:val="0"/>
                <w:i/>
              </w:rPr>
              <w:t>(</w:t>
            </w:r>
            <w:proofErr w:type="spellStart"/>
            <w:r w:rsidR="009E34D4" w:rsidRPr="009E34D4">
              <w:rPr>
                <w:b w:val="0"/>
                <w:i/>
              </w:rPr>
              <w:t>Статотчет</w:t>
            </w:r>
            <w:proofErr w:type="spellEnd"/>
            <w:r w:rsidR="009E34D4" w:rsidRPr="009E34D4">
              <w:rPr>
                <w:b w:val="0"/>
                <w:i/>
              </w:rPr>
              <w:t>)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165 чел./</w:t>
            </w:r>
            <w:r>
              <w:rPr>
                <w:b w:val="0"/>
              </w:rPr>
              <w:t>14,4% (от 1145)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1.4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0 чел./0%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1.5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194 чел./</w:t>
            </w:r>
            <w:r>
              <w:rPr>
                <w:b w:val="0"/>
              </w:rPr>
              <w:t>18,8</w:t>
            </w:r>
            <w:r w:rsidRPr="00242DC7">
              <w:rPr>
                <w:b w:val="0"/>
              </w:rPr>
              <w:t xml:space="preserve"> %</w:t>
            </w:r>
            <w:r>
              <w:rPr>
                <w:b w:val="0"/>
              </w:rPr>
              <w:t xml:space="preserve"> (от 1030)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1.6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  <w:r w:rsidR="009E34D4">
              <w:rPr>
                <w:b w:val="0"/>
              </w:rPr>
              <w:t xml:space="preserve"> </w:t>
            </w:r>
            <w:r w:rsidR="009E34D4" w:rsidRPr="009E34D4">
              <w:rPr>
                <w:b w:val="0"/>
                <w:i/>
              </w:rPr>
              <w:t>(</w:t>
            </w:r>
            <w:proofErr w:type="spellStart"/>
            <w:r w:rsidR="009E34D4" w:rsidRPr="009E34D4">
              <w:rPr>
                <w:b w:val="0"/>
                <w:i/>
              </w:rPr>
              <w:t>Статотчет</w:t>
            </w:r>
            <w:proofErr w:type="spellEnd"/>
            <w:r w:rsidR="009E34D4" w:rsidRPr="009E34D4">
              <w:rPr>
                <w:b w:val="0"/>
                <w:i/>
              </w:rPr>
              <w:t>, Социальный паспорт)</w:t>
            </w:r>
          </w:p>
        </w:tc>
        <w:tc>
          <w:tcPr>
            <w:tcW w:w="3191" w:type="dxa"/>
            <w:vAlign w:val="center"/>
          </w:tcPr>
          <w:p w:rsidR="0022255F" w:rsidRPr="00242DC7" w:rsidRDefault="008746EF" w:rsidP="006E4AC7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>
              <w:rPr>
                <w:b w:val="0"/>
              </w:rPr>
              <w:t>19 чел/ 1,8</w:t>
            </w:r>
            <w:bookmarkStart w:id="0" w:name="_GoBack"/>
            <w:bookmarkEnd w:id="0"/>
            <w:r w:rsidR="0022255F" w:rsidRPr="00242DC7">
              <w:rPr>
                <w:b w:val="0"/>
              </w:rPr>
              <w:t xml:space="preserve"> %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1.6.1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Учащиеся с ограниченными возможностями здоровья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 xml:space="preserve">7 чел./ </w:t>
            </w:r>
            <w:r w:rsidR="00FC291B">
              <w:rPr>
                <w:b w:val="0"/>
              </w:rPr>
              <w:t>0,7</w:t>
            </w:r>
            <w:r w:rsidRPr="00242DC7">
              <w:rPr>
                <w:b w:val="0"/>
              </w:rPr>
              <w:t xml:space="preserve">  %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1.6.2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8 чел./</w:t>
            </w:r>
            <w:r w:rsidR="00FC291B">
              <w:rPr>
                <w:b w:val="0"/>
              </w:rPr>
              <w:t>0,7</w:t>
            </w:r>
            <w:r w:rsidRPr="00242DC7">
              <w:rPr>
                <w:b w:val="0"/>
              </w:rPr>
              <w:t xml:space="preserve"> %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1.6.3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Дети-мигранты 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 xml:space="preserve">2 чел./ </w:t>
            </w:r>
            <w:r w:rsidR="00FC291B">
              <w:rPr>
                <w:b w:val="0"/>
              </w:rPr>
              <w:t>0,2</w:t>
            </w:r>
            <w:r w:rsidRPr="00242DC7">
              <w:rPr>
                <w:b w:val="0"/>
              </w:rPr>
              <w:t xml:space="preserve">   %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1.6.4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Дети, попавшие в трудную жизненную ситуацию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2 чел./</w:t>
            </w:r>
            <w:r w:rsidR="00FC291B">
              <w:rPr>
                <w:b w:val="0"/>
              </w:rPr>
              <w:t>0,2</w:t>
            </w:r>
            <w:r w:rsidRPr="00242DC7">
              <w:rPr>
                <w:b w:val="0"/>
              </w:rPr>
              <w:t xml:space="preserve">  %</w:t>
            </w:r>
          </w:p>
        </w:tc>
      </w:tr>
      <w:tr w:rsidR="00043B70" w:rsidRPr="001B415F" w:rsidTr="008C4A8D">
        <w:tc>
          <w:tcPr>
            <w:tcW w:w="959" w:type="dxa"/>
            <w:vAlign w:val="center"/>
          </w:tcPr>
          <w:p w:rsidR="00043B70" w:rsidRPr="00A53895" w:rsidRDefault="00043B70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A53895">
              <w:rPr>
                <w:b w:val="0"/>
              </w:rPr>
              <w:t>1.7</w:t>
            </w:r>
          </w:p>
        </w:tc>
        <w:tc>
          <w:tcPr>
            <w:tcW w:w="5421" w:type="dxa"/>
            <w:vAlign w:val="center"/>
          </w:tcPr>
          <w:p w:rsidR="00043B70" w:rsidRPr="00A53895" w:rsidRDefault="00043B70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A53895">
              <w:rPr>
                <w:b w:val="0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3191" w:type="dxa"/>
            <w:vAlign w:val="center"/>
          </w:tcPr>
          <w:p w:rsidR="00043B70" w:rsidRPr="00A53895" w:rsidRDefault="00043B70" w:rsidP="006E4AC7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A53895">
              <w:rPr>
                <w:b w:val="0"/>
              </w:rPr>
              <w:t>704 чел./ 68,3 %</w:t>
            </w:r>
            <w:r>
              <w:rPr>
                <w:b w:val="0"/>
              </w:rPr>
              <w:t xml:space="preserve"> (от 1030)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1.8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190 чел./</w:t>
            </w:r>
            <w:r>
              <w:rPr>
                <w:b w:val="0"/>
              </w:rPr>
              <w:t xml:space="preserve"> 18,4</w:t>
            </w:r>
            <w:r w:rsidRPr="00242DC7">
              <w:rPr>
                <w:b w:val="0"/>
              </w:rPr>
              <w:t xml:space="preserve">  %</w:t>
            </w:r>
            <w:r>
              <w:rPr>
                <w:b w:val="0"/>
              </w:rPr>
              <w:t xml:space="preserve"> (от 1030)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1.8.1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На муниципальном уровне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 xml:space="preserve">97 чел./ </w:t>
            </w:r>
            <w:r>
              <w:rPr>
                <w:b w:val="0"/>
              </w:rPr>
              <w:t>9,4</w:t>
            </w:r>
            <w:r w:rsidRPr="00242DC7">
              <w:rPr>
                <w:b w:val="0"/>
              </w:rPr>
              <w:t xml:space="preserve">   %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1.8.2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На региональном уровне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 xml:space="preserve"> 59 чел./ </w:t>
            </w:r>
            <w:r>
              <w:rPr>
                <w:b w:val="0"/>
              </w:rPr>
              <w:t>5,7</w:t>
            </w:r>
            <w:r w:rsidRPr="00242DC7">
              <w:rPr>
                <w:b w:val="0"/>
              </w:rPr>
              <w:t xml:space="preserve">  %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1.8.3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На межрегиональном уровне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0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1.8.4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На федеральном уровне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 xml:space="preserve">11 чел./  </w:t>
            </w:r>
            <w:r>
              <w:rPr>
                <w:b w:val="0"/>
              </w:rPr>
              <w:t>1,1</w:t>
            </w:r>
            <w:r w:rsidRPr="00242DC7">
              <w:rPr>
                <w:b w:val="0"/>
              </w:rPr>
              <w:t xml:space="preserve">  %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1.8.5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На международном уровне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 xml:space="preserve">23 чел./ </w:t>
            </w:r>
            <w:r>
              <w:rPr>
                <w:b w:val="0"/>
              </w:rPr>
              <w:t>2,2</w:t>
            </w:r>
            <w:r w:rsidRPr="00242DC7">
              <w:rPr>
                <w:b w:val="0"/>
              </w:rPr>
              <w:t xml:space="preserve">   %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1.9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197 чел./ 19 %</w:t>
            </w:r>
            <w:r>
              <w:rPr>
                <w:b w:val="0"/>
              </w:rPr>
              <w:t xml:space="preserve"> (от 1030)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1.9.1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На муниципальном уровне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73 чел./ 7 %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1.9.2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На региональном уровне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40 чел./ 3,9   %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1.9.3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На межрегиональном уровне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0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1.9.4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На федеральном уровне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42 чел./  4</w:t>
            </w:r>
            <w:r>
              <w:rPr>
                <w:b w:val="0"/>
              </w:rPr>
              <w:t>,1</w:t>
            </w:r>
            <w:r w:rsidRPr="00242DC7">
              <w:rPr>
                <w:b w:val="0"/>
              </w:rPr>
              <w:t xml:space="preserve">  %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1.9.5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На международном уровне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42 чел./ 4</w:t>
            </w:r>
            <w:r>
              <w:rPr>
                <w:b w:val="0"/>
              </w:rPr>
              <w:t>,1</w:t>
            </w:r>
            <w:r w:rsidRPr="00242DC7">
              <w:rPr>
                <w:b w:val="0"/>
              </w:rPr>
              <w:t xml:space="preserve"> %</w:t>
            </w:r>
          </w:p>
        </w:tc>
      </w:tr>
      <w:tr w:rsidR="00043B70" w:rsidRPr="001B415F" w:rsidTr="008C4A8D">
        <w:tc>
          <w:tcPr>
            <w:tcW w:w="959" w:type="dxa"/>
            <w:vAlign w:val="center"/>
          </w:tcPr>
          <w:p w:rsidR="00043B70" w:rsidRPr="00A53895" w:rsidRDefault="00043B70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A53895">
              <w:rPr>
                <w:b w:val="0"/>
              </w:rPr>
              <w:t>1.10</w:t>
            </w:r>
          </w:p>
        </w:tc>
        <w:tc>
          <w:tcPr>
            <w:tcW w:w="5421" w:type="dxa"/>
            <w:vAlign w:val="center"/>
          </w:tcPr>
          <w:p w:rsidR="00043B70" w:rsidRPr="00A53895" w:rsidRDefault="00043B70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A53895">
              <w:rPr>
                <w:b w:val="0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3191" w:type="dxa"/>
            <w:vAlign w:val="center"/>
          </w:tcPr>
          <w:p w:rsidR="00043B70" w:rsidRPr="00A53895" w:rsidRDefault="00043B70" w:rsidP="006E4AC7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A53895">
              <w:rPr>
                <w:b w:val="0"/>
              </w:rPr>
              <w:t>2552 чел./ 222,9 %</w:t>
            </w:r>
            <w:r>
              <w:rPr>
                <w:b w:val="0"/>
              </w:rPr>
              <w:t xml:space="preserve"> (от 1030)</w:t>
            </w:r>
          </w:p>
        </w:tc>
      </w:tr>
      <w:tr w:rsidR="00043B70" w:rsidRPr="001B415F" w:rsidTr="008C4A8D">
        <w:tc>
          <w:tcPr>
            <w:tcW w:w="959" w:type="dxa"/>
            <w:vAlign w:val="center"/>
          </w:tcPr>
          <w:p w:rsidR="00043B70" w:rsidRPr="00A53895" w:rsidRDefault="00043B70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A53895">
              <w:rPr>
                <w:b w:val="0"/>
              </w:rPr>
              <w:t>1.10.1</w:t>
            </w:r>
          </w:p>
        </w:tc>
        <w:tc>
          <w:tcPr>
            <w:tcW w:w="5421" w:type="dxa"/>
            <w:vAlign w:val="center"/>
          </w:tcPr>
          <w:p w:rsidR="00043B70" w:rsidRPr="00A53895" w:rsidRDefault="00043B70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A53895">
              <w:rPr>
                <w:b w:val="0"/>
              </w:rPr>
              <w:t>Муниципального уровня</w:t>
            </w:r>
          </w:p>
        </w:tc>
        <w:tc>
          <w:tcPr>
            <w:tcW w:w="3191" w:type="dxa"/>
            <w:vAlign w:val="center"/>
          </w:tcPr>
          <w:p w:rsidR="00043B70" w:rsidRPr="00A53895" w:rsidRDefault="00043B70" w:rsidP="006E4AC7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A53895">
              <w:rPr>
                <w:b w:val="0"/>
              </w:rPr>
              <w:t xml:space="preserve"> 1617 чел/  141,2   % </w:t>
            </w:r>
          </w:p>
        </w:tc>
      </w:tr>
      <w:tr w:rsidR="00043B70" w:rsidRPr="001B415F" w:rsidTr="008C4A8D">
        <w:tc>
          <w:tcPr>
            <w:tcW w:w="959" w:type="dxa"/>
            <w:vAlign w:val="center"/>
          </w:tcPr>
          <w:p w:rsidR="00043B70" w:rsidRPr="00A53895" w:rsidRDefault="00043B70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A53895">
              <w:rPr>
                <w:b w:val="0"/>
              </w:rPr>
              <w:t>1.10.2</w:t>
            </w:r>
          </w:p>
        </w:tc>
        <w:tc>
          <w:tcPr>
            <w:tcW w:w="5421" w:type="dxa"/>
            <w:vAlign w:val="center"/>
          </w:tcPr>
          <w:p w:rsidR="00043B70" w:rsidRPr="00A53895" w:rsidRDefault="00043B70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A53895">
              <w:rPr>
                <w:b w:val="0"/>
              </w:rPr>
              <w:t>Регионального уровня</w:t>
            </w:r>
          </w:p>
        </w:tc>
        <w:tc>
          <w:tcPr>
            <w:tcW w:w="3191" w:type="dxa"/>
            <w:vAlign w:val="center"/>
          </w:tcPr>
          <w:p w:rsidR="00043B70" w:rsidRPr="00A53895" w:rsidRDefault="00043B70" w:rsidP="006E4AC7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A53895">
              <w:rPr>
                <w:b w:val="0"/>
              </w:rPr>
              <w:t>65  чел./ 5.6 %</w:t>
            </w:r>
          </w:p>
        </w:tc>
      </w:tr>
      <w:tr w:rsidR="00043B70" w:rsidRPr="001B415F" w:rsidTr="008C4A8D">
        <w:tc>
          <w:tcPr>
            <w:tcW w:w="959" w:type="dxa"/>
            <w:vAlign w:val="center"/>
          </w:tcPr>
          <w:p w:rsidR="00043B70" w:rsidRPr="00A53895" w:rsidRDefault="00043B70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A53895">
              <w:rPr>
                <w:b w:val="0"/>
              </w:rPr>
              <w:lastRenderedPageBreak/>
              <w:t>1.10.3</w:t>
            </w:r>
          </w:p>
        </w:tc>
        <w:tc>
          <w:tcPr>
            <w:tcW w:w="5421" w:type="dxa"/>
            <w:vAlign w:val="center"/>
          </w:tcPr>
          <w:p w:rsidR="00043B70" w:rsidRPr="00A53895" w:rsidRDefault="00043B70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A53895">
              <w:rPr>
                <w:b w:val="0"/>
              </w:rPr>
              <w:t>Межрегионального уровня</w:t>
            </w:r>
          </w:p>
        </w:tc>
        <w:tc>
          <w:tcPr>
            <w:tcW w:w="3191" w:type="dxa"/>
            <w:vAlign w:val="center"/>
          </w:tcPr>
          <w:p w:rsidR="00043B70" w:rsidRPr="00A53895" w:rsidRDefault="00043B70" w:rsidP="006E4AC7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A53895">
              <w:rPr>
                <w:b w:val="0"/>
              </w:rPr>
              <w:t>0 чел./0%</w:t>
            </w:r>
          </w:p>
        </w:tc>
      </w:tr>
      <w:tr w:rsidR="00043B70" w:rsidRPr="001B415F" w:rsidTr="008C4A8D">
        <w:tc>
          <w:tcPr>
            <w:tcW w:w="959" w:type="dxa"/>
            <w:vAlign w:val="center"/>
          </w:tcPr>
          <w:p w:rsidR="00043B70" w:rsidRPr="00A53895" w:rsidRDefault="00043B70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A53895">
              <w:rPr>
                <w:b w:val="0"/>
              </w:rPr>
              <w:t>1.10.4</w:t>
            </w:r>
          </w:p>
        </w:tc>
        <w:tc>
          <w:tcPr>
            <w:tcW w:w="5421" w:type="dxa"/>
            <w:vAlign w:val="center"/>
          </w:tcPr>
          <w:p w:rsidR="00043B70" w:rsidRPr="00A53895" w:rsidRDefault="00043B70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A53895">
              <w:rPr>
                <w:b w:val="0"/>
              </w:rPr>
              <w:t>Федерального уровня</w:t>
            </w:r>
          </w:p>
        </w:tc>
        <w:tc>
          <w:tcPr>
            <w:tcW w:w="3191" w:type="dxa"/>
            <w:vAlign w:val="center"/>
          </w:tcPr>
          <w:p w:rsidR="00043B70" w:rsidRPr="00A53895" w:rsidRDefault="00043B70" w:rsidP="006E4AC7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A53895">
              <w:rPr>
                <w:b w:val="0"/>
              </w:rPr>
              <w:t>870 чел./  75,9   %</w:t>
            </w:r>
          </w:p>
        </w:tc>
      </w:tr>
      <w:tr w:rsidR="00043B70" w:rsidRPr="001B415F" w:rsidTr="008C4A8D">
        <w:tc>
          <w:tcPr>
            <w:tcW w:w="959" w:type="dxa"/>
            <w:vAlign w:val="center"/>
          </w:tcPr>
          <w:p w:rsidR="00043B70" w:rsidRPr="00A53895" w:rsidRDefault="00043B70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A53895">
              <w:rPr>
                <w:b w:val="0"/>
              </w:rPr>
              <w:t>1.10.5</w:t>
            </w:r>
          </w:p>
        </w:tc>
        <w:tc>
          <w:tcPr>
            <w:tcW w:w="5421" w:type="dxa"/>
            <w:vAlign w:val="center"/>
          </w:tcPr>
          <w:p w:rsidR="00043B70" w:rsidRPr="00A53895" w:rsidRDefault="00043B70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A53895">
              <w:rPr>
                <w:b w:val="0"/>
              </w:rPr>
              <w:t>Международного уровня</w:t>
            </w:r>
          </w:p>
        </w:tc>
        <w:tc>
          <w:tcPr>
            <w:tcW w:w="3191" w:type="dxa"/>
            <w:vAlign w:val="center"/>
          </w:tcPr>
          <w:p w:rsidR="00043B70" w:rsidRPr="00A53895" w:rsidRDefault="00043B70" w:rsidP="006E4AC7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A53895">
              <w:rPr>
                <w:b w:val="0"/>
              </w:rPr>
              <w:t>0 чел./0%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1.11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3191" w:type="dxa"/>
            <w:vAlign w:val="center"/>
          </w:tcPr>
          <w:p w:rsidR="0022255F" w:rsidRPr="00242DC7" w:rsidRDefault="00547724" w:rsidP="006E4AC7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="006E4AC7">
              <w:rPr>
                <w:b w:val="0"/>
              </w:rPr>
              <w:t xml:space="preserve"> </w:t>
            </w:r>
            <w:r w:rsidR="0022255F" w:rsidRPr="00242DC7">
              <w:rPr>
                <w:b w:val="0"/>
              </w:rPr>
              <w:t>единиц</w:t>
            </w:r>
            <w:r w:rsidR="006E4AC7">
              <w:rPr>
                <w:b w:val="0"/>
              </w:rPr>
              <w:t>ы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1.11.1</w:t>
            </w:r>
          </w:p>
        </w:tc>
        <w:tc>
          <w:tcPr>
            <w:tcW w:w="5421" w:type="dxa"/>
            <w:vAlign w:val="center"/>
          </w:tcPr>
          <w:p w:rsidR="0022255F" w:rsidRDefault="0022255F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На муниципальном уровне</w:t>
            </w:r>
          </w:p>
          <w:p w:rsidR="006E4AC7" w:rsidRDefault="006E4AC7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>«Безопасное колесо -2015»</w:t>
            </w:r>
          </w:p>
          <w:p w:rsidR="006E4AC7" w:rsidRDefault="006E4AC7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 xml:space="preserve">«Безопасное колесо </w:t>
            </w:r>
            <w:proofErr w:type="gramStart"/>
            <w:r>
              <w:rPr>
                <w:b w:val="0"/>
              </w:rPr>
              <w:t>среди</w:t>
            </w:r>
            <w:proofErr w:type="gramEnd"/>
            <w:r>
              <w:rPr>
                <w:b w:val="0"/>
              </w:rPr>
              <w:t xml:space="preserve"> ГОЛ» (июнь, июль)</w:t>
            </w:r>
          </w:p>
          <w:p w:rsidR="006E4AC7" w:rsidRPr="00242DC7" w:rsidRDefault="006E4AC7" w:rsidP="006E4AC7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>«Умники»</w:t>
            </w:r>
          </w:p>
        </w:tc>
        <w:tc>
          <w:tcPr>
            <w:tcW w:w="3191" w:type="dxa"/>
            <w:vAlign w:val="center"/>
          </w:tcPr>
          <w:p w:rsidR="0022255F" w:rsidRPr="00242DC7" w:rsidRDefault="00547724" w:rsidP="006E4AC7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="0022255F" w:rsidRPr="00242DC7">
              <w:rPr>
                <w:b w:val="0"/>
              </w:rPr>
              <w:t xml:space="preserve"> единиц</w:t>
            </w:r>
            <w:r w:rsidR="006E4AC7">
              <w:rPr>
                <w:b w:val="0"/>
              </w:rPr>
              <w:t>ы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1.11.2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региональном уровне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0 единиц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1.11.3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межрегиональном уровне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0 единиц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1.11.4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федеральном уровне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0 единиц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1.11.5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международном уровне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0 единиц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1.12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Общая численность педагогических работников  </w:t>
            </w:r>
          </w:p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11  штатных ПДО</w:t>
            </w:r>
          </w:p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2 штатные другие педагогические работники (Строков В.П., Коваленко В.В.)</w:t>
            </w:r>
          </w:p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7 внешние совместители ПДО</w:t>
            </w:r>
          </w:p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4 внутреннее совмещение ПД</w:t>
            </w:r>
            <w:r w:rsidR="00585A16">
              <w:rPr>
                <w:b w:val="0"/>
              </w:rPr>
              <w:t>О (Цвиркун О.А., Милащенко В.А.,</w:t>
            </w:r>
            <w:r w:rsidRPr="00242DC7">
              <w:rPr>
                <w:b w:val="0"/>
              </w:rPr>
              <w:t xml:space="preserve"> Симоненко Н.П., Попова В.А.)</w:t>
            </w:r>
          </w:p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2 платные услуги ПДО (Черноножкина С.Д., Протасевич А.Ю.)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rPr>
                <w:b w:val="0"/>
              </w:rPr>
            </w:pPr>
          </w:p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26 чел.</w:t>
            </w:r>
          </w:p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22255F" w:rsidRPr="00242DC7" w:rsidRDefault="0022255F" w:rsidP="008C4A8D">
            <w:pPr>
              <w:rPr>
                <w:b w:val="0"/>
              </w:rPr>
            </w:pP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1.13</w:t>
            </w:r>
          </w:p>
        </w:tc>
        <w:tc>
          <w:tcPr>
            <w:tcW w:w="5421" w:type="dxa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proofErr w:type="gramStart"/>
            <w:r w:rsidRPr="00242DC7">
              <w:rPr>
                <w:b w:val="0"/>
              </w:rPr>
              <w:t xml:space="preserve">(Антипина Н.А., Ильина Т.В., Кияткина Л.И., Сухарева Н.А., Дремина Л.Е.. Перминова Е.В., Язков С.В., </w:t>
            </w:r>
            <w:proofErr w:type="spellStart"/>
            <w:r w:rsidRPr="00242DC7">
              <w:rPr>
                <w:b w:val="0"/>
              </w:rPr>
              <w:t>Никофоренок</w:t>
            </w:r>
            <w:proofErr w:type="spellEnd"/>
            <w:r w:rsidRPr="00242DC7">
              <w:rPr>
                <w:b w:val="0"/>
              </w:rPr>
              <w:t xml:space="preserve"> Л.К., Кравченко А.Г., Цвиркун О.А., Милащенко В.А., Черноножкина С.Д., Протасевич А.Ю., Андреев Е.А., Попова В.А., Симоненко Н.П., Герей Д.Н., Лобукова О.В. , Ищенко И.И., Павлюк С.В.)</w:t>
            </w:r>
            <w:proofErr w:type="gramEnd"/>
          </w:p>
        </w:tc>
        <w:tc>
          <w:tcPr>
            <w:tcW w:w="3191" w:type="dxa"/>
            <w:vAlign w:val="center"/>
          </w:tcPr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22255F" w:rsidRPr="00242DC7" w:rsidRDefault="00763A5A" w:rsidP="008C4A8D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>
              <w:rPr>
                <w:b w:val="0"/>
              </w:rPr>
              <w:t>20 чел./76,9</w:t>
            </w:r>
            <w:r w:rsidR="0022255F" w:rsidRPr="00242DC7">
              <w:rPr>
                <w:b w:val="0"/>
              </w:rPr>
              <w:t>%</w:t>
            </w:r>
          </w:p>
          <w:p w:rsidR="0022255F" w:rsidRPr="00242DC7" w:rsidRDefault="0022255F" w:rsidP="008C4A8D">
            <w:pPr>
              <w:jc w:val="center"/>
              <w:rPr>
                <w:b w:val="0"/>
              </w:rPr>
            </w:pP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1.14</w:t>
            </w:r>
          </w:p>
        </w:tc>
        <w:tc>
          <w:tcPr>
            <w:tcW w:w="5421" w:type="dxa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(Антипина Н.А., Ильина Т.В., Кияткина Л.И., Сухарева Н.А.,</w:t>
            </w:r>
            <w:r w:rsidR="00585A16">
              <w:rPr>
                <w:b w:val="0"/>
              </w:rPr>
              <w:t xml:space="preserve"> </w:t>
            </w:r>
            <w:r w:rsidRPr="00242DC7">
              <w:rPr>
                <w:b w:val="0"/>
              </w:rPr>
              <w:t xml:space="preserve">Дремина Л.Е.. Перминова Е.В., Язков С.В., </w:t>
            </w:r>
            <w:proofErr w:type="spellStart"/>
            <w:r w:rsidRPr="00242DC7">
              <w:rPr>
                <w:b w:val="0"/>
              </w:rPr>
              <w:t>Никофоренок</w:t>
            </w:r>
            <w:proofErr w:type="spellEnd"/>
            <w:r w:rsidRPr="00242DC7">
              <w:rPr>
                <w:b w:val="0"/>
              </w:rPr>
              <w:t xml:space="preserve"> Л.К., Кравченко А.Г., Цвиркун О.А., Милащенко В.А., Черноножкина С.Д., Протасевич А.Ю.)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22255F" w:rsidRPr="00242DC7" w:rsidRDefault="00763A5A" w:rsidP="008C4A8D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>
              <w:rPr>
                <w:b w:val="0"/>
              </w:rPr>
              <w:t>13 чел./5</w:t>
            </w:r>
            <w:r w:rsidR="0022255F" w:rsidRPr="00242DC7">
              <w:rPr>
                <w:b w:val="0"/>
              </w:rPr>
              <w:t>0%</w:t>
            </w:r>
          </w:p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22255F" w:rsidRPr="00242DC7" w:rsidRDefault="0022255F" w:rsidP="008C4A8D">
            <w:pPr>
              <w:jc w:val="center"/>
              <w:rPr>
                <w:b w:val="0"/>
              </w:rPr>
            </w:pP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1.15</w:t>
            </w:r>
          </w:p>
        </w:tc>
        <w:tc>
          <w:tcPr>
            <w:tcW w:w="5421" w:type="dxa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(Емельянова Е.А., Леонтьева Е.А., Михайлов В.В., Сапожникова Л.А., Коваленко В.В., Строков В.П.)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8C4A8D">
            <w:pPr>
              <w:jc w:val="center"/>
              <w:rPr>
                <w:b w:val="0"/>
              </w:rPr>
            </w:pPr>
          </w:p>
          <w:p w:rsidR="0022255F" w:rsidRPr="00242DC7" w:rsidRDefault="0022255F" w:rsidP="008C4A8D">
            <w:pPr>
              <w:jc w:val="center"/>
              <w:rPr>
                <w:b w:val="0"/>
              </w:rPr>
            </w:pPr>
          </w:p>
          <w:p w:rsidR="0022255F" w:rsidRPr="00242DC7" w:rsidRDefault="00763A5A" w:rsidP="008C4A8D">
            <w:pPr>
              <w:jc w:val="center"/>
              <w:rPr>
                <w:b w:val="0"/>
              </w:rPr>
            </w:pPr>
            <w:r>
              <w:rPr>
                <w:b w:val="0"/>
              </w:rPr>
              <w:t>6 чел./23</w:t>
            </w:r>
            <w:r w:rsidR="0022255F" w:rsidRPr="00242DC7">
              <w:rPr>
                <w:b w:val="0"/>
              </w:rPr>
              <w:t>%</w:t>
            </w:r>
          </w:p>
          <w:p w:rsidR="0022255F" w:rsidRPr="00242DC7" w:rsidRDefault="0022255F" w:rsidP="008C4A8D">
            <w:pPr>
              <w:rPr>
                <w:b w:val="0"/>
              </w:rPr>
            </w:pP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1.16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(Леонтьева Е.А., Михайлов В.В., Коваленко В.В., Строков В.П.)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8C4A8D">
            <w:pPr>
              <w:jc w:val="center"/>
              <w:rPr>
                <w:b w:val="0"/>
              </w:rPr>
            </w:pPr>
          </w:p>
          <w:p w:rsidR="0022255F" w:rsidRPr="00242DC7" w:rsidRDefault="0022255F" w:rsidP="008C4A8D">
            <w:pPr>
              <w:jc w:val="center"/>
              <w:rPr>
                <w:b w:val="0"/>
              </w:rPr>
            </w:pPr>
          </w:p>
          <w:p w:rsidR="0022255F" w:rsidRPr="00242DC7" w:rsidRDefault="0022255F" w:rsidP="008C4A8D">
            <w:pPr>
              <w:jc w:val="center"/>
              <w:rPr>
                <w:b w:val="0"/>
              </w:rPr>
            </w:pPr>
          </w:p>
          <w:p w:rsidR="0022255F" w:rsidRPr="00242DC7" w:rsidRDefault="00C23D6A" w:rsidP="008C4A8D">
            <w:pPr>
              <w:jc w:val="center"/>
              <w:rPr>
                <w:b w:val="0"/>
              </w:rPr>
            </w:pPr>
            <w:r>
              <w:rPr>
                <w:b w:val="0"/>
              </w:rPr>
              <w:t>4 чел./15,4</w:t>
            </w:r>
            <w:r w:rsidR="0022255F" w:rsidRPr="00242DC7">
              <w:rPr>
                <w:b w:val="0"/>
              </w:rPr>
              <w:t>%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1.17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7 чел.</w:t>
            </w:r>
            <w:r>
              <w:rPr>
                <w:b w:val="0"/>
              </w:rPr>
              <w:t>/26,9%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1.17.1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Высшая </w:t>
            </w:r>
          </w:p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4 внешние совместители ПДО</w:t>
            </w:r>
          </w:p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(Андреев Е.А., Кравченко А.Г. Никифоренок Л.К., Язков С.В.)</w:t>
            </w:r>
          </w:p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rPr>
                <w:b w:val="0"/>
              </w:rPr>
            </w:pPr>
          </w:p>
        </w:tc>
        <w:tc>
          <w:tcPr>
            <w:tcW w:w="3191" w:type="dxa"/>
            <w:vAlign w:val="center"/>
          </w:tcPr>
          <w:p w:rsidR="0022255F" w:rsidRPr="00242DC7" w:rsidRDefault="00C23D6A" w:rsidP="008C4A8D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>
              <w:rPr>
                <w:b w:val="0"/>
              </w:rPr>
              <w:t>4 чел. /15,4</w:t>
            </w:r>
            <w:r w:rsidR="0022255F" w:rsidRPr="00242DC7">
              <w:rPr>
                <w:b w:val="0"/>
              </w:rPr>
              <w:t xml:space="preserve"> %</w:t>
            </w:r>
          </w:p>
        </w:tc>
      </w:tr>
      <w:tr w:rsidR="0022255F" w:rsidRPr="001B415F" w:rsidTr="008C4A8D">
        <w:trPr>
          <w:trHeight w:val="286"/>
        </w:trPr>
        <w:tc>
          <w:tcPr>
            <w:tcW w:w="959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1.17.2</w:t>
            </w:r>
          </w:p>
        </w:tc>
        <w:tc>
          <w:tcPr>
            <w:tcW w:w="5421" w:type="dxa"/>
          </w:tcPr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rPr>
                <w:b w:val="0"/>
              </w:rPr>
            </w:pPr>
          </w:p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Первая</w:t>
            </w:r>
          </w:p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1  </w:t>
            </w:r>
            <w:proofErr w:type="gramStart"/>
            <w:r w:rsidRPr="00242DC7">
              <w:rPr>
                <w:b w:val="0"/>
              </w:rPr>
              <w:t>штатных</w:t>
            </w:r>
            <w:proofErr w:type="gramEnd"/>
            <w:r w:rsidRPr="00242DC7">
              <w:rPr>
                <w:b w:val="0"/>
              </w:rPr>
              <w:t xml:space="preserve"> ПДО (Антипина Н.А.</w:t>
            </w:r>
            <w:r w:rsidR="006D5C6D">
              <w:rPr>
                <w:b w:val="0"/>
              </w:rPr>
              <w:t>, Сапожникова Л.А.</w:t>
            </w:r>
            <w:r w:rsidRPr="00242DC7">
              <w:rPr>
                <w:b w:val="0"/>
              </w:rPr>
              <w:t>)</w:t>
            </w:r>
          </w:p>
          <w:p w:rsidR="0022255F" w:rsidRDefault="0022255F" w:rsidP="008C4A8D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2 внешние совместители ПДО (Сухарева Н.А., Дремина Л.Е.)</w:t>
            </w:r>
          </w:p>
          <w:p w:rsidR="00BB10AD" w:rsidRPr="00242DC7" w:rsidRDefault="00BB10AD" w:rsidP="008C4A8D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>1 внутренний совместитель (Цвиркун О.А.)</w:t>
            </w:r>
          </w:p>
        </w:tc>
        <w:tc>
          <w:tcPr>
            <w:tcW w:w="3191" w:type="dxa"/>
          </w:tcPr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22255F" w:rsidRPr="00242DC7" w:rsidRDefault="006D5C6D" w:rsidP="008C4A8D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  <w:r w:rsidR="00BB10AD">
              <w:rPr>
                <w:b w:val="0"/>
              </w:rPr>
              <w:t xml:space="preserve"> чел./ </w:t>
            </w:r>
            <w:r>
              <w:rPr>
                <w:b w:val="0"/>
              </w:rPr>
              <w:t>19,2</w:t>
            </w:r>
            <w:r w:rsidR="0022255F" w:rsidRPr="00242DC7">
              <w:rPr>
                <w:b w:val="0"/>
              </w:rPr>
              <w:t>%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1.18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Численность/удельный вес численности педагогических работников в общей численности  педагогических работников, </w:t>
            </w:r>
            <w:r w:rsidRPr="00242DC7">
              <w:t>педагогический стаж</w:t>
            </w:r>
            <w:r w:rsidRPr="00242DC7">
              <w:rPr>
                <w:b w:val="0"/>
              </w:rPr>
              <w:t xml:space="preserve"> работы которых составляет: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8 чел./ 30,7 %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1.18.1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До 5 лет</w:t>
            </w:r>
          </w:p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(Герей Д.Н.. Лобукова О.В., Михайлов В.В., Перминова Е.В., Симоненко Н.П., Попова В.А.)</w:t>
            </w:r>
          </w:p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rPr>
                <w:b w:val="0"/>
              </w:rPr>
            </w:pPr>
          </w:p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rPr>
                <w:b w:val="0"/>
              </w:rPr>
            </w:pPr>
          </w:p>
        </w:tc>
        <w:tc>
          <w:tcPr>
            <w:tcW w:w="3191" w:type="dxa"/>
            <w:vAlign w:val="center"/>
          </w:tcPr>
          <w:p w:rsidR="0022255F" w:rsidRPr="00242DC7" w:rsidRDefault="0022255F" w:rsidP="008C4A8D">
            <w:pPr>
              <w:jc w:val="center"/>
              <w:rPr>
                <w:b w:val="0"/>
              </w:rPr>
            </w:pPr>
          </w:p>
          <w:p w:rsidR="0022255F" w:rsidRPr="00242DC7" w:rsidRDefault="0022255F" w:rsidP="008C4A8D">
            <w:pPr>
              <w:jc w:val="center"/>
              <w:rPr>
                <w:b w:val="0"/>
              </w:rPr>
            </w:pPr>
            <w:r w:rsidRPr="00242DC7">
              <w:rPr>
                <w:b w:val="0"/>
              </w:rPr>
              <w:t>6 чел./ 23%</w:t>
            </w:r>
          </w:p>
          <w:p w:rsidR="0022255F" w:rsidRPr="00242DC7" w:rsidRDefault="0022255F" w:rsidP="008C4A8D">
            <w:pPr>
              <w:rPr>
                <w:b w:val="0"/>
              </w:rPr>
            </w:pP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1.18.2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Свыше 30 лет </w:t>
            </w:r>
          </w:p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(Кияткина Л.И.. Сухарева Н.А.)</w:t>
            </w:r>
          </w:p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rPr>
                <w:b w:val="0"/>
              </w:rPr>
            </w:pPr>
          </w:p>
        </w:tc>
        <w:tc>
          <w:tcPr>
            <w:tcW w:w="3191" w:type="dxa"/>
          </w:tcPr>
          <w:p w:rsidR="0022255F" w:rsidRPr="00242DC7" w:rsidRDefault="0022255F" w:rsidP="008C4A8D">
            <w:pPr>
              <w:jc w:val="center"/>
              <w:rPr>
                <w:b w:val="0"/>
              </w:rPr>
            </w:pPr>
            <w:r w:rsidRPr="00242DC7">
              <w:rPr>
                <w:b w:val="0"/>
              </w:rPr>
              <w:t>2 чел./ 7,7%</w:t>
            </w:r>
          </w:p>
          <w:p w:rsidR="0022255F" w:rsidRPr="00242DC7" w:rsidRDefault="0022255F" w:rsidP="008C4A8D">
            <w:pPr>
              <w:rPr>
                <w:b w:val="0"/>
              </w:rPr>
            </w:pP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1.19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(Герей Д</w:t>
            </w:r>
            <w:proofErr w:type="gramStart"/>
            <w:r w:rsidRPr="00242DC7">
              <w:rPr>
                <w:b w:val="0"/>
              </w:rPr>
              <w:t>,Н</w:t>
            </w:r>
            <w:proofErr w:type="gramEnd"/>
            <w:r w:rsidRPr="00242DC7">
              <w:rPr>
                <w:b w:val="0"/>
              </w:rPr>
              <w:t>.,  Ильина Т.В., Лобукова О.В., Перминова Е.В., Попова В.А., Цвиркун О.А., Протасевич А.Ю.)</w:t>
            </w:r>
          </w:p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rPr>
                <w:b w:val="0"/>
              </w:rPr>
            </w:pPr>
          </w:p>
        </w:tc>
        <w:tc>
          <w:tcPr>
            <w:tcW w:w="3191" w:type="dxa"/>
            <w:vAlign w:val="center"/>
          </w:tcPr>
          <w:p w:rsidR="0022255F" w:rsidRPr="00242DC7" w:rsidRDefault="0022255F" w:rsidP="008C4A8D">
            <w:pPr>
              <w:jc w:val="center"/>
              <w:rPr>
                <w:b w:val="0"/>
              </w:rPr>
            </w:pPr>
            <w:r w:rsidRPr="00242DC7">
              <w:rPr>
                <w:b w:val="0"/>
              </w:rPr>
              <w:t>7 чел/26,9%</w:t>
            </w:r>
          </w:p>
          <w:p w:rsidR="0022255F" w:rsidRPr="00242DC7" w:rsidRDefault="0022255F" w:rsidP="008C4A8D">
            <w:pPr>
              <w:jc w:val="center"/>
              <w:rPr>
                <w:b w:val="0"/>
              </w:rPr>
            </w:pPr>
          </w:p>
          <w:p w:rsidR="0022255F" w:rsidRPr="00242DC7" w:rsidRDefault="0022255F" w:rsidP="008C4A8D">
            <w:pPr>
              <w:jc w:val="center"/>
              <w:rPr>
                <w:b w:val="0"/>
              </w:rPr>
            </w:pPr>
          </w:p>
          <w:p w:rsidR="0022255F" w:rsidRPr="00242DC7" w:rsidRDefault="0022255F" w:rsidP="008C4A8D">
            <w:pPr>
              <w:jc w:val="center"/>
              <w:rPr>
                <w:b w:val="0"/>
              </w:rPr>
            </w:pP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1.20</w:t>
            </w:r>
          </w:p>
        </w:tc>
        <w:tc>
          <w:tcPr>
            <w:tcW w:w="5421" w:type="dxa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  <w:p w:rsidR="0022255F" w:rsidRPr="00242DC7" w:rsidRDefault="006961B3" w:rsidP="008C4A8D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(Емельянова Е.А., Ищенко И.И., Кияткина Л.И.,</w:t>
            </w:r>
            <w:r w:rsidR="0022255F" w:rsidRPr="00242DC7">
              <w:rPr>
                <w:b w:val="0"/>
              </w:rPr>
              <w:t xml:space="preserve"> Павлюк С.В., Сапожникова Л.</w:t>
            </w:r>
            <w:r w:rsidR="00860835">
              <w:rPr>
                <w:b w:val="0"/>
              </w:rPr>
              <w:t>А., Андреев Е.А.. Кравченко А.Г</w:t>
            </w:r>
            <w:r w:rsidR="0022255F" w:rsidRPr="00242DC7">
              <w:rPr>
                <w:b w:val="0"/>
              </w:rPr>
              <w:t>. Черноножкина С.Д., Коваленко В.В.)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8C4A8D">
            <w:pPr>
              <w:jc w:val="center"/>
              <w:rPr>
                <w:b w:val="0"/>
              </w:rPr>
            </w:pPr>
            <w:r w:rsidRPr="00242DC7">
              <w:rPr>
                <w:b w:val="0"/>
              </w:rPr>
              <w:t>9 чел./34,6%</w:t>
            </w:r>
          </w:p>
          <w:p w:rsidR="0022255F" w:rsidRPr="00242DC7" w:rsidRDefault="0022255F" w:rsidP="008C4A8D">
            <w:pPr>
              <w:jc w:val="center"/>
              <w:rPr>
                <w:b w:val="0"/>
              </w:rPr>
            </w:pPr>
          </w:p>
          <w:p w:rsidR="0022255F" w:rsidRPr="00242DC7" w:rsidRDefault="0022255F" w:rsidP="008C4A8D">
            <w:pPr>
              <w:jc w:val="center"/>
              <w:rPr>
                <w:b w:val="0"/>
              </w:rPr>
            </w:pPr>
          </w:p>
          <w:p w:rsidR="0022255F" w:rsidRPr="00242DC7" w:rsidRDefault="0022255F" w:rsidP="008C4A8D">
            <w:pPr>
              <w:jc w:val="center"/>
              <w:rPr>
                <w:b w:val="0"/>
              </w:rPr>
            </w:pP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1.21</w:t>
            </w:r>
          </w:p>
        </w:tc>
        <w:tc>
          <w:tcPr>
            <w:tcW w:w="5421" w:type="dxa"/>
          </w:tcPr>
          <w:p w:rsidR="00860835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r w:rsidR="006961B3">
              <w:rPr>
                <w:b w:val="0"/>
              </w:rPr>
              <w:t xml:space="preserve"> (посчитано </w:t>
            </w:r>
            <w:r w:rsidR="00A80A96">
              <w:rPr>
                <w:b w:val="0"/>
              </w:rPr>
              <w:t xml:space="preserve"> от  34</w:t>
            </w:r>
            <w:r w:rsidR="00860835">
              <w:rPr>
                <w:b w:val="0"/>
              </w:rPr>
              <w:t xml:space="preserve"> чел: </w:t>
            </w:r>
            <w:r w:rsidR="00A80A96">
              <w:rPr>
                <w:b w:val="0"/>
              </w:rPr>
              <w:t>штатные ПДО -13</w:t>
            </w:r>
            <w:r w:rsidR="00585A16">
              <w:rPr>
                <w:b w:val="0"/>
              </w:rPr>
              <w:t xml:space="preserve"> чел., внешние совместители ПДО -7 чел., другие </w:t>
            </w:r>
            <w:proofErr w:type="gramStart"/>
            <w:r w:rsidR="00585A16">
              <w:rPr>
                <w:b w:val="0"/>
              </w:rPr>
              <w:t>ПР</w:t>
            </w:r>
            <w:proofErr w:type="gramEnd"/>
            <w:r w:rsidR="00585A16">
              <w:rPr>
                <w:b w:val="0"/>
              </w:rPr>
              <w:t xml:space="preserve"> - 6 чел. (Земскова И.В., Давыдова З.И.,</w:t>
            </w:r>
            <w:r w:rsidR="006961B3">
              <w:rPr>
                <w:b w:val="0"/>
              </w:rPr>
              <w:t xml:space="preserve"> Коваленко В.</w:t>
            </w:r>
            <w:proofErr w:type="gramStart"/>
            <w:r w:rsidR="006961B3">
              <w:rPr>
                <w:b w:val="0"/>
              </w:rPr>
              <w:t>В., Строков В.П.,</w:t>
            </w:r>
            <w:r w:rsidR="00585A16">
              <w:rPr>
                <w:b w:val="0"/>
              </w:rPr>
              <w:t xml:space="preserve"> Милащенко В.А.</w:t>
            </w:r>
            <w:r w:rsidR="006961B3">
              <w:rPr>
                <w:b w:val="0"/>
              </w:rPr>
              <w:t>, Протасевич А.Ю.</w:t>
            </w:r>
            <w:r w:rsidR="00585A16">
              <w:rPr>
                <w:b w:val="0"/>
              </w:rPr>
              <w:t>), педагог-организатор</w:t>
            </w:r>
            <w:r w:rsidR="006961B3">
              <w:rPr>
                <w:b w:val="0"/>
              </w:rPr>
              <w:t xml:space="preserve">  - 1 чел.</w:t>
            </w:r>
            <w:r w:rsidR="00585A16">
              <w:rPr>
                <w:b w:val="0"/>
              </w:rPr>
              <w:t xml:space="preserve"> (Попова В.А.), методист</w:t>
            </w:r>
            <w:r w:rsidR="006961B3">
              <w:rPr>
                <w:b w:val="0"/>
              </w:rPr>
              <w:t xml:space="preserve"> – 1 чел.</w:t>
            </w:r>
            <w:r w:rsidR="00585A16">
              <w:rPr>
                <w:b w:val="0"/>
              </w:rPr>
              <w:t xml:space="preserve"> (Цвиркун О.А.)</w:t>
            </w:r>
            <w:r w:rsidR="006961B3">
              <w:rPr>
                <w:b w:val="0"/>
              </w:rPr>
              <w:t>, внутреннее совмещение</w:t>
            </w:r>
            <w:r w:rsidR="008214EA">
              <w:rPr>
                <w:b w:val="0"/>
              </w:rPr>
              <w:t xml:space="preserve"> ПДО </w:t>
            </w:r>
            <w:r w:rsidR="006961B3">
              <w:rPr>
                <w:b w:val="0"/>
              </w:rPr>
              <w:t xml:space="preserve"> -1 чел. (Симоненко</w:t>
            </w:r>
            <w:r w:rsidR="000034A0">
              <w:rPr>
                <w:b w:val="0"/>
              </w:rPr>
              <w:t xml:space="preserve"> Н.П.), руководящие работники -4</w:t>
            </w:r>
            <w:r w:rsidR="006961B3">
              <w:rPr>
                <w:b w:val="0"/>
              </w:rPr>
              <w:t xml:space="preserve"> чел. </w:t>
            </w:r>
            <w:r w:rsidR="00A80A96">
              <w:rPr>
                <w:b w:val="0"/>
              </w:rPr>
              <w:t>(Коваленко Е.В., Поморцева С.В.,</w:t>
            </w:r>
            <w:r w:rsidR="006961B3">
              <w:rPr>
                <w:b w:val="0"/>
              </w:rPr>
              <w:t xml:space="preserve"> Князева Е.В.</w:t>
            </w:r>
            <w:r w:rsidR="000034A0">
              <w:rPr>
                <w:b w:val="0"/>
              </w:rPr>
              <w:t>, Кряжева О.А.</w:t>
            </w:r>
            <w:r w:rsidR="006961B3">
              <w:rPr>
                <w:b w:val="0"/>
              </w:rPr>
              <w:t>), платные услуги -1 чел. (Черноножкина С.Д.)</w:t>
            </w:r>
            <w:proofErr w:type="gramEnd"/>
          </w:p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КПК</w:t>
            </w:r>
            <w:r w:rsidR="0068126E">
              <w:rPr>
                <w:b w:val="0"/>
              </w:rPr>
              <w:t xml:space="preserve"> -14</w:t>
            </w:r>
            <w:r w:rsidR="006961B3">
              <w:rPr>
                <w:b w:val="0"/>
              </w:rPr>
              <w:t xml:space="preserve"> чел.</w:t>
            </w:r>
            <w:r w:rsidRPr="00242DC7">
              <w:rPr>
                <w:b w:val="0"/>
              </w:rPr>
              <w:t xml:space="preserve"> (Емельянова Е.А., Леонтьева Е.А., Цвиркун О.А.</w:t>
            </w:r>
            <w:r w:rsidR="0068126E">
              <w:rPr>
                <w:b w:val="0"/>
              </w:rPr>
              <w:t xml:space="preserve">, </w:t>
            </w:r>
            <w:r w:rsidRPr="00242DC7">
              <w:rPr>
                <w:b w:val="0"/>
              </w:rPr>
              <w:t xml:space="preserve"> Ищенко И.И., Павлюк С.В.. Кияткина Л.И., Дремина Л.Е., Сухарева Н.А., Сапожникова Л.А.</w:t>
            </w:r>
            <w:r w:rsidR="00DC3E76">
              <w:rPr>
                <w:b w:val="0"/>
              </w:rPr>
              <w:t>, Можаев А.Л., Филиппова В.Н.</w:t>
            </w:r>
            <w:r w:rsidR="0068126E">
              <w:rPr>
                <w:b w:val="0"/>
              </w:rPr>
              <w:t>, Строков В.П., Коваленко В.В., Черноножкина С.Д.</w:t>
            </w:r>
            <w:r w:rsidRPr="00242DC7">
              <w:rPr>
                <w:b w:val="0"/>
              </w:rPr>
              <w:t>)</w:t>
            </w:r>
          </w:p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ПП</w:t>
            </w:r>
            <w:r w:rsidR="0068126E">
              <w:rPr>
                <w:b w:val="0"/>
              </w:rPr>
              <w:t xml:space="preserve"> -10</w:t>
            </w:r>
            <w:r w:rsidR="006961B3">
              <w:rPr>
                <w:b w:val="0"/>
              </w:rPr>
              <w:t xml:space="preserve"> чел.</w:t>
            </w:r>
            <w:r w:rsidRPr="00242DC7">
              <w:rPr>
                <w:b w:val="0"/>
              </w:rPr>
              <w:t xml:space="preserve"> (</w:t>
            </w:r>
            <w:r w:rsidR="0068126E">
              <w:rPr>
                <w:b w:val="0"/>
              </w:rPr>
              <w:t xml:space="preserve">Коваленко Е.В., </w:t>
            </w:r>
            <w:r w:rsidRPr="00242DC7">
              <w:rPr>
                <w:b w:val="0"/>
              </w:rPr>
              <w:t>Антипина Н.А., Язков С.В., Давыдова З.И., Милащенко В.А., Князева Е.В., Коваленко В.</w:t>
            </w:r>
            <w:r w:rsidR="009168B6">
              <w:rPr>
                <w:b w:val="0"/>
              </w:rPr>
              <w:t>В., Михайлов В.В., Строков В.П.</w:t>
            </w:r>
            <w:r w:rsidR="000034A0">
              <w:rPr>
                <w:b w:val="0"/>
              </w:rPr>
              <w:t>, Кряжева О.А.</w:t>
            </w:r>
            <w:r w:rsidRPr="00242DC7">
              <w:rPr>
                <w:b w:val="0"/>
              </w:rPr>
              <w:t>)</w:t>
            </w:r>
          </w:p>
        </w:tc>
        <w:tc>
          <w:tcPr>
            <w:tcW w:w="3191" w:type="dxa"/>
          </w:tcPr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22255F" w:rsidRPr="00242DC7" w:rsidRDefault="00A80A96" w:rsidP="008C4A8D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  <w:r w:rsidR="0022255F" w:rsidRPr="00242DC7">
              <w:rPr>
                <w:b w:val="0"/>
              </w:rPr>
              <w:t xml:space="preserve"> чел. / </w:t>
            </w:r>
            <w:r>
              <w:rPr>
                <w:b w:val="0"/>
              </w:rPr>
              <w:t>70,5</w:t>
            </w:r>
            <w:r w:rsidR="0022255F">
              <w:rPr>
                <w:b w:val="0"/>
              </w:rPr>
              <w:t xml:space="preserve"> </w:t>
            </w:r>
            <w:r w:rsidR="0022255F" w:rsidRPr="00242DC7">
              <w:rPr>
                <w:b w:val="0"/>
              </w:rPr>
              <w:t>%</w:t>
            </w:r>
          </w:p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22255F" w:rsidRPr="00242DC7" w:rsidRDefault="0022255F" w:rsidP="008C4A8D">
            <w:pPr>
              <w:rPr>
                <w:b w:val="0"/>
              </w:rPr>
            </w:pP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1.22</w:t>
            </w:r>
          </w:p>
        </w:tc>
        <w:tc>
          <w:tcPr>
            <w:tcW w:w="5421" w:type="dxa"/>
            <w:vAlign w:val="center"/>
          </w:tcPr>
          <w:p w:rsidR="006961B3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  <w:r w:rsidR="006961B3">
              <w:rPr>
                <w:b w:val="0"/>
              </w:rPr>
              <w:t xml:space="preserve"> </w:t>
            </w:r>
          </w:p>
          <w:p w:rsidR="0022255F" w:rsidRPr="00242DC7" w:rsidRDefault="009168B6" w:rsidP="008C4A8D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</w:t>
            </w:r>
            <w:r w:rsidR="0022255F" w:rsidRPr="00242DC7">
              <w:rPr>
                <w:b w:val="0"/>
              </w:rPr>
              <w:t>Цвиркун О.А.)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1 чел. / 3,8 %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043B70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043B70">
              <w:rPr>
                <w:b w:val="0"/>
              </w:rPr>
              <w:t>1.23</w:t>
            </w:r>
          </w:p>
        </w:tc>
        <w:tc>
          <w:tcPr>
            <w:tcW w:w="5421" w:type="dxa"/>
            <w:vAlign w:val="center"/>
          </w:tcPr>
          <w:p w:rsidR="0022255F" w:rsidRPr="00043B70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043B70">
              <w:rPr>
                <w:b w:val="0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3191" w:type="dxa"/>
            <w:vAlign w:val="center"/>
          </w:tcPr>
          <w:p w:rsidR="0022255F" w:rsidRPr="00043B70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043B70">
              <w:rPr>
                <w:b w:val="0"/>
              </w:rPr>
              <w:t> 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043B70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043B70">
              <w:rPr>
                <w:b w:val="0"/>
              </w:rPr>
              <w:t>1.23.1</w:t>
            </w:r>
          </w:p>
        </w:tc>
        <w:tc>
          <w:tcPr>
            <w:tcW w:w="5421" w:type="dxa"/>
            <w:vAlign w:val="center"/>
          </w:tcPr>
          <w:p w:rsidR="0022255F" w:rsidRPr="00043B70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043B70">
              <w:rPr>
                <w:b w:val="0"/>
              </w:rPr>
              <w:t xml:space="preserve"> За 3 года</w:t>
            </w:r>
          </w:p>
        </w:tc>
        <w:tc>
          <w:tcPr>
            <w:tcW w:w="3191" w:type="dxa"/>
            <w:vAlign w:val="center"/>
          </w:tcPr>
          <w:p w:rsidR="0022255F" w:rsidRPr="00043B70" w:rsidRDefault="0022255F" w:rsidP="008C4A8D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043B70">
              <w:rPr>
                <w:b w:val="0"/>
              </w:rPr>
              <w:t>31+17</w:t>
            </w:r>
            <w:r w:rsidR="00D8511D">
              <w:rPr>
                <w:b w:val="0"/>
              </w:rPr>
              <w:t>+42=90</w:t>
            </w:r>
            <w:r w:rsidR="00043B70" w:rsidRPr="00043B70">
              <w:rPr>
                <w:b w:val="0"/>
              </w:rPr>
              <w:t xml:space="preserve"> </w:t>
            </w:r>
            <w:proofErr w:type="spellStart"/>
            <w:r w:rsidR="00043B70" w:rsidRPr="00043B70">
              <w:rPr>
                <w:b w:val="0"/>
              </w:rPr>
              <w:t>ед</w:t>
            </w:r>
            <w:proofErr w:type="spellEnd"/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043B70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043B70">
              <w:rPr>
                <w:b w:val="0"/>
              </w:rPr>
              <w:t>1.23.2</w:t>
            </w:r>
          </w:p>
        </w:tc>
        <w:tc>
          <w:tcPr>
            <w:tcW w:w="5421" w:type="dxa"/>
            <w:vAlign w:val="center"/>
          </w:tcPr>
          <w:p w:rsidR="0022255F" w:rsidRPr="00043B70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043B70">
              <w:rPr>
                <w:b w:val="0"/>
              </w:rPr>
              <w:t xml:space="preserve"> За отчетный период</w:t>
            </w:r>
          </w:p>
        </w:tc>
        <w:tc>
          <w:tcPr>
            <w:tcW w:w="3191" w:type="dxa"/>
            <w:vAlign w:val="center"/>
          </w:tcPr>
          <w:p w:rsidR="0022255F" w:rsidRPr="00043B70" w:rsidRDefault="00D8511D" w:rsidP="008C4A8D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>
              <w:rPr>
                <w:b w:val="0"/>
              </w:rPr>
              <w:t>42</w:t>
            </w:r>
            <w:r w:rsidR="0022255F" w:rsidRPr="00043B70">
              <w:rPr>
                <w:b w:val="0"/>
              </w:rPr>
              <w:t xml:space="preserve"> ед.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1.24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да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</w:t>
            </w:r>
          </w:p>
        </w:tc>
        <w:tc>
          <w:tcPr>
            <w:tcW w:w="8612" w:type="dxa"/>
            <w:gridSpan w:val="2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Инфраструктура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2.1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Количество компьютеров в расчете на одного учащегося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22 ед.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2.2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18 ед.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2.2.1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Учебный класс </w:t>
            </w:r>
          </w:p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Филиалы (школы)</w:t>
            </w:r>
          </w:p>
          <w:p w:rsidR="0022255F" w:rsidRPr="00242DC7" w:rsidRDefault="0022255F" w:rsidP="008C4A8D">
            <w:pPr>
              <w:rPr>
                <w:b w:val="0"/>
              </w:rPr>
            </w:pPr>
            <w:r w:rsidRPr="00242DC7">
              <w:rPr>
                <w:b w:val="0"/>
              </w:rPr>
              <w:t>Центр, подростковый клуб</w:t>
            </w:r>
            <w:r w:rsidRPr="00242DC7">
              <w:rPr>
                <w:b w:val="0"/>
                <w:sz w:val="28"/>
                <w:szCs w:val="28"/>
              </w:rPr>
              <w:t xml:space="preserve">   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11 ед.</w:t>
            </w:r>
          </w:p>
          <w:p w:rsidR="0022255F" w:rsidRPr="00242DC7" w:rsidRDefault="0022255F" w:rsidP="008C4A8D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5 ед.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2.2.2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Лаборатория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 xml:space="preserve">0 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2.2.3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Мастерская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 xml:space="preserve">0 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2.2.4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Танцевальный класс 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 xml:space="preserve">0 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2.2.5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Спортивный  зал   (тир, зал СОШ 41) 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2 ед.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2.2.6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Бассейн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 xml:space="preserve">0 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2.3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2  ед.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2.3.1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Актовый зал </w:t>
            </w:r>
            <w:proofErr w:type="gramStart"/>
            <w:r w:rsidRPr="00242DC7">
              <w:rPr>
                <w:b w:val="0"/>
              </w:rPr>
              <w:t xml:space="preserve">( </w:t>
            </w:r>
            <w:proofErr w:type="gramEnd"/>
            <w:r w:rsidRPr="00242DC7">
              <w:rPr>
                <w:b w:val="0"/>
              </w:rPr>
              <w:t>музей)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1 ед.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2.3.2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Концертный зал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0 ед.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2.3.3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Игровое помещение ДЮЦ (зал мероприятий)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1 ед.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2.4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Наличие загородных оздоровительных лагерей, баз отдыха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нет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2.5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да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2.6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Наличие читального зала библиотеки, в том числе: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нет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2.6.1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нет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2.6.2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С медиатекой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нет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2.6.3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Оснащенного средствами сканирования и распознавания текстов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нет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2.6.4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нет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2.6.5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С контролируемой распечаткой бумажных материалов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нет</w:t>
            </w:r>
          </w:p>
        </w:tc>
      </w:tr>
      <w:tr w:rsidR="0022255F" w:rsidRPr="001B415F" w:rsidTr="008C4A8D">
        <w:tc>
          <w:tcPr>
            <w:tcW w:w="959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2.7</w:t>
            </w:r>
          </w:p>
        </w:tc>
        <w:tc>
          <w:tcPr>
            <w:tcW w:w="542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191" w:type="dxa"/>
            <w:vAlign w:val="center"/>
          </w:tcPr>
          <w:p w:rsidR="0022255F" w:rsidRPr="00242DC7" w:rsidRDefault="0022255F" w:rsidP="008C4A8D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0 чел./0 %</w:t>
            </w:r>
          </w:p>
        </w:tc>
      </w:tr>
    </w:tbl>
    <w:p w:rsidR="0022255F" w:rsidRPr="001B415F" w:rsidRDefault="0022255F" w:rsidP="0022255F"/>
    <w:p w:rsidR="0022255F" w:rsidRDefault="0022255F" w:rsidP="0022255F"/>
    <w:p w:rsidR="0022255F" w:rsidRDefault="0022255F" w:rsidP="0022255F">
      <w:r>
        <w:t>Директор   МАУДОД ДЮЦ                                                                              Е.В. Коваленко</w:t>
      </w:r>
    </w:p>
    <w:p w:rsidR="0022255F" w:rsidRDefault="0022255F" w:rsidP="0022255F"/>
    <w:p w:rsidR="0022255F" w:rsidRPr="001F7A1B" w:rsidRDefault="0022255F" w:rsidP="0022255F">
      <w:pPr>
        <w:jc w:val="right"/>
        <w:rPr>
          <w:sz w:val="20"/>
          <w:szCs w:val="20"/>
        </w:rPr>
      </w:pPr>
      <w:r w:rsidRPr="001F7A1B">
        <w:rPr>
          <w:sz w:val="20"/>
          <w:szCs w:val="20"/>
        </w:rPr>
        <w:t xml:space="preserve">Исполнитель: </w:t>
      </w:r>
    </w:p>
    <w:p w:rsidR="0022255F" w:rsidRPr="001F7A1B" w:rsidRDefault="0022255F" w:rsidP="0022255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ЗД по УВР </w:t>
      </w:r>
      <w:r w:rsidRPr="001F7A1B">
        <w:rPr>
          <w:sz w:val="20"/>
          <w:szCs w:val="20"/>
        </w:rPr>
        <w:t>Князева Е.В.</w:t>
      </w:r>
    </w:p>
    <w:p w:rsidR="0022255F" w:rsidRPr="001F7A1B" w:rsidRDefault="0022255F" w:rsidP="0022255F">
      <w:pPr>
        <w:jc w:val="right"/>
        <w:rPr>
          <w:sz w:val="20"/>
          <w:szCs w:val="20"/>
        </w:rPr>
      </w:pPr>
      <w:r w:rsidRPr="001F7A1B">
        <w:rPr>
          <w:sz w:val="20"/>
          <w:szCs w:val="20"/>
        </w:rPr>
        <w:t>33-38-48</w:t>
      </w:r>
    </w:p>
    <w:p w:rsidR="0022255F" w:rsidRDefault="0022255F" w:rsidP="0022255F"/>
    <w:p w:rsidR="00CE3804" w:rsidRDefault="00CE3804"/>
    <w:sectPr w:rsidR="00CE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5F"/>
    <w:rsid w:val="000034A0"/>
    <w:rsid w:val="00013E79"/>
    <w:rsid w:val="00043B70"/>
    <w:rsid w:val="000B0F42"/>
    <w:rsid w:val="0022255F"/>
    <w:rsid w:val="002302D3"/>
    <w:rsid w:val="00547724"/>
    <w:rsid w:val="00585A16"/>
    <w:rsid w:val="0068126E"/>
    <w:rsid w:val="006961B3"/>
    <w:rsid w:val="006D5C6D"/>
    <w:rsid w:val="006E4AC7"/>
    <w:rsid w:val="006F7B26"/>
    <w:rsid w:val="00763A5A"/>
    <w:rsid w:val="008214EA"/>
    <w:rsid w:val="00823A23"/>
    <w:rsid w:val="00860835"/>
    <w:rsid w:val="008746EF"/>
    <w:rsid w:val="009168B6"/>
    <w:rsid w:val="009E34D4"/>
    <w:rsid w:val="00A80A96"/>
    <w:rsid w:val="00AE689A"/>
    <w:rsid w:val="00B75624"/>
    <w:rsid w:val="00BB10AD"/>
    <w:rsid w:val="00C23D6A"/>
    <w:rsid w:val="00CC613E"/>
    <w:rsid w:val="00CE3804"/>
    <w:rsid w:val="00D8511D"/>
    <w:rsid w:val="00DC3E76"/>
    <w:rsid w:val="00DE7B7A"/>
    <w:rsid w:val="00E15671"/>
    <w:rsid w:val="00FC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5F"/>
    <w:pPr>
      <w:jc w:val="left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55F"/>
    <w:pPr>
      <w:jc w:val="left"/>
    </w:pPr>
    <w:rPr>
      <w:rFonts w:eastAsia="Times New Roman"/>
      <w:b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2225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5F"/>
    <w:pPr>
      <w:jc w:val="left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55F"/>
    <w:pPr>
      <w:jc w:val="left"/>
    </w:pPr>
    <w:rPr>
      <w:rFonts w:eastAsia="Times New Roman"/>
      <w:b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2225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A400-537B-48A3-A41B-045B6378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cp:lastModifiedBy>Елена Валерьевна</cp:lastModifiedBy>
  <cp:revision>15</cp:revision>
  <dcterms:created xsi:type="dcterms:W3CDTF">2016-03-11T01:58:00Z</dcterms:created>
  <dcterms:modified xsi:type="dcterms:W3CDTF">2017-04-09T23:06:00Z</dcterms:modified>
</cp:coreProperties>
</file>